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2.png" ContentType="image/png"/>
  <Override PartName="/word/media/image1.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lle"/>
        <w:tblW w:w="11016" w:type="dxa"/>
        <w:jc w:val="left"/>
        <w:tblInd w:w="0" w:type="dxa"/>
        <w:tblCellMar>
          <w:top w:w="0" w:type="dxa"/>
          <w:left w:w="123" w:type="dxa"/>
          <w:bottom w:w="0" w:type="dxa"/>
          <w:right w:w="108" w:type="dxa"/>
        </w:tblCellMar>
        <w:tblLook w:lastRow="0" w:firstRow="1" w:lastColumn="0" w:firstColumn="1" w:val="04a0" w:noHBand="0" w:noVBand="1"/>
      </w:tblPr>
      <w:tblGrid>
        <w:gridCol w:w="2235"/>
        <w:gridCol w:w="8780"/>
      </w:tblGrid>
      <w:tr>
        <w:trPr/>
        <w:tc>
          <w:tcPr>
            <w:tcW w:w="2235" w:type="dxa"/>
            <w:tcBorders>
              <w:top w:val="nil"/>
              <w:left w:val="nil"/>
              <w:bottom w:val="nil"/>
              <w:right w:val="nil"/>
              <w:insideH w:val="nil"/>
              <w:insideV w:val="nil"/>
            </w:tcBorders>
            <w:shd w:fill="auto" w:val="clear"/>
          </w:tcPr>
          <w:p>
            <w:pPr>
              <w:pStyle w:val="Normal"/>
              <w:jc w:val="both"/>
              <w:rPr>
                <w:b/>
                <w:b/>
                <w:bCs/>
                <w:sz w:val="22"/>
                <w:szCs w:val="22"/>
                <w:lang w:val="fr-FR"/>
              </w:rPr>
            </w:pPr>
            <w:r>
              <w:rPr/>
              <w:drawing>
                <wp:inline distT="0" distB="0" distL="0" distR="0">
                  <wp:extent cx="1257300" cy="25146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1257300" cy="251460"/>
                          </a:xfrm>
                          <a:prstGeom prst="rect">
                            <a:avLst/>
                          </a:prstGeom>
                        </pic:spPr>
                      </pic:pic>
                    </a:graphicData>
                  </a:graphic>
                </wp:inline>
              </w:drawing>
            </w:r>
          </w:p>
        </w:tc>
        <w:tc>
          <w:tcPr>
            <w:tcW w:w="8780" w:type="dxa"/>
            <w:tcBorders>
              <w:top w:val="nil"/>
              <w:left w:val="nil"/>
              <w:bottom w:val="nil"/>
              <w:right w:val="nil"/>
              <w:insideH w:val="nil"/>
              <w:insideV w:val="nil"/>
            </w:tcBorders>
            <w:shd w:fill="auto" w:val="clear"/>
          </w:tcPr>
          <w:p>
            <w:pPr>
              <w:pStyle w:val="Normal"/>
              <w:jc w:val="both"/>
              <w:rPr>
                <w:color w:val="000000" w:themeColor="text1"/>
                <w:sz w:val="22"/>
                <w:szCs w:val="22"/>
                <w:lang w:val="fr-FR"/>
              </w:rPr>
            </w:pPr>
            <w:r>
              <w:rPr>
                <w:b/>
                <w:bCs/>
                <w:sz w:val="22"/>
                <w:szCs w:val="22"/>
                <w:lang w:val="fr-FR"/>
              </w:rPr>
              <w:t>Stage de master</w:t>
            </w:r>
            <w:r>
              <w:rPr>
                <w:b/>
                <w:bCs/>
                <w:color w:val="000000" w:themeColor="text1"/>
                <w:sz w:val="22"/>
                <w:szCs w:val="22"/>
                <w:lang w:val="fr-FR"/>
              </w:rPr>
              <w:t xml:space="preserve">: </w:t>
            </w:r>
            <w:r>
              <w:rPr>
                <w:color w:val="000000" w:themeColor="text1"/>
                <w:sz w:val="22"/>
                <w:szCs w:val="22"/>
                <w:lang w:val="fr-FR"/>
              </w:rPr>
              <w:t>Apprentissage d’une équation de propagation convection-diffusion par apprentissage profond (deep learning)</w:t>
            </w:r>
          </w:p>
          <w:p>
            <w:pPr>
              <w:pStyle w:val="Normal"/>
              <w:jc w:val="both"/>
              <w:rPr>
                <w:sz w:val="22"/>
                <w:szCs w:val="22"/>
                <w:lang w:val="fr-FR"/>
              </w:rPr>
            </w:pPr>
            <w:r>
              <w:rPr>
                <w:sz w:val="22"/>
                <w:szCs w:val="22"/>
                <w:lang w:val="fr-FR"/>
              </w:rPr>
            </w:r>
          </w:p>
        </w:tc>
      </w:tr>
    </w:tbl>
    <w:p>
      <w:pPr>
        <w:pStyle w:val="Normal"/>
        <w:jc w:val="both"/>
        <w:rPr>
          <w:sz w:val="22"/>
          <w:szCs w:val="22"/>
          <w:lang w:val="fr-FR"/>
        </w:rPr>
      </w:pPr>
      <w:bookmarkStart w:id="0" w:name="_GoBack"/>
      <w:bookmarkEnd w:id="0"/>
      <w:r>
        <w:rPr>
          <w:b/>
          <w:sz w:val="22"/>
          <w:szCs w:val="22"/>
          <w:lang w:val="fr-FR"/>
        </w:rPr>
        <w:t xml:space="preserve">Encadrement </w:t>
      </w:r>
      <w:r>
        <w:rPr>
          <w:sz w:val="22"/>
          <w:szCs w:val="22"/>
          <w:lang w:val="fr-FR"/>
        </w:rPr>
        <w:t>: B.Sixou (MCU INSA, équipe 4), P. Clarysse (DR CNRS, équipe 1) au laboratoire CREATIS</w:t>
      </w:r>
    </w:p>
    <w:p>
      <w:pPr>
        <w:pStyle w:val="Normal"/>
        <w:jc w:val="both"/>
        <w:rPr>
          <w:b/>
          <w:b/>
          <w:bCs/>
          <w:sz w:val="22"/>
          <w:szCs w:val="22"/>
          <w:lang w:val="fr-FR"/>
        </w:rPr>
      </w:pPr>
      <w:r>
        <w:rPr>
          <w:b/>
          <w:bCs/>
          <w:sz w:val="22"/>
          <w:szCs w:val="22"/>
          <w:lang w:val="fr-FR"/>
        </w:rPr>
      </w:r>
    </w:p>
    <w:p>
      <w:pPr>
        <w:pStyle w:val="Normal"/>
        <w:jc w:val="both"/>
        <w:rPr>
          <w:bCs/>
          <w:sz w:val="22"/>
          <w:szCs w:val="22"/>
          <w:lang w:val="fr-FR"/>
        </w:rPr>
      </w:pPr>
      <w:r>
        <w:rPr>
          <w:b/>
          <w:bCs/>
          <w:sz w:val="22"/>
          <w:szCs w:val="22"/>
          <w:lang w:val="fr-FR"/>
        </w:rPr>
        <w:t>Contexte:</w:t>
        <w:tab/>
      </w:r>
      <w:r>
        <w:rPr>
          <w:bCs/>
          <w:sz w:val="22"/>
          <w:szCs w:val="22"/>
          <w:lang w:val="fr-FR"/>
        </w:rPr>
        <w:t xml:space="preserve">L’estimation du champ de vitesse du sang dans une artère est un facteur crucial dans l’étude des pathologies artérielles. Ce champ de vitesse peut être estimé à partir de la propagation d’un agent de contraste de densité </w:t>
      </w:r>
      <w:r>
        <w:rPr>
          <w:bCs/>
          <w:i/>
          <w:sz w:val="22"/>
          <w:szCs w:val="22"/>
          <w:lang w:val="fr-FR"/>
        </w:rPr>
        <w:t xml:space="preserve">f </w:t>
      </w:r>
      <w:r>
        <w:rPr>
          <w:bCs/>
          <w:sz w:val="22"/>
          <w:szCs w:val="22"/>
          <w:lang w:val="fr-FR"/>
        </w:rPr>
        <w:t>observé en imagerie médicale (tomodensitométrie, imagerie ultrasonore…)</w:t>
      </w:r>
      <w:r>
        <w:rPr>
          <w:bCs/>
          <w:i/>
          <w:sz w:val="22"/>
          <w:szCs w:val="22"/>
          <w:lang w:val="fr-FR"/>
        </w:rPr>
        <w:t>.</w:t>
      </w:r>
      <w:r>
        <w:rPr>
          <w:bCs/>
          <w:sz w:val="22"/>
          <w:szCs w:val="22"/>
          <w:lang w:val="fr-FR"/>
        </w:rPr>
        <w:t xml:space="preserve"> La propagation est souvent régie par une équation aux dérivées partielles du type :</w:t>
      </w:r>
    </w:p>
    <w:p>
      <w:pPr>
        <w:pStyle w:val="Normal"/>
        <w:jc w:val="both"/>
        <w:rPr>
          <w:rFonts w:ascii="Courier" w:hAnsi="Courier"/>
          <w:sz w:val="28"/>
          <w:szCs w:val="28"/>
        </w:rPr>
      </w:pPr>
      <w:r>
        <w:rPr>
          <w:rFonts w:eastAsia="Liberation Serif" w:cs="Liberation Serif" w:ascii="Courier" w:hAnsi="Courier"/>
          <w:bCs/>
          <w:sz w:val="28"/>
          <w:szCs w:val="28"/>
          <w:lang w:val="fr-FR"/>
        </w:rPr>
        <w:t>∂</w:t>
      </w:r>
      <w:r>
        <w:rPr>
          <w:rFonts w:eastAsia="Liberation Serif" w:cs="Liberation Serif" w:ascii="Courier" w:hAnsi="Courier"/>
          <w:bCs/>
          <w:sz w:val="28"/>
          <w:szCs w:val="28"/>
          <w:lang w:val="fr-FR"/>
        </w:rPr>
        <w:t>f/∂t=F(t,x,y,z,∂f/∂x,∂f/∂y,∂f/∂z,∂</w:t>
      </w:r>
      <w:r>
        <w:rPr>
          <w:rFonts w:eastAsia="Liberation Serif" w:cs="Liberation Serif" w:ascii="Courier" w:hAnsi="Courier"/>
          <w:bCs/>
          <w:sz w:val="28"/>
          <w:szCs w:val="28"/>
          <w:vertAlign w:val="superscript"/>
          <w:lang w:val="fr-FR"/>
        </w:rPr>
        <w:t>2</w:t>
      </w:r>
      <w:r>
        <w:rPr>
          <w:rFonts w:eastAsia="Liberation Serif" w:cs="Liberation Serif" w:ascii="Courier" w:hAnsi="Courier"/>
          <w:bCs/>
          <w:sz w:val="28"/>
          <w:szCs w:val="28"/>
          <w:lang w:val="fr-FR"/>
        </w:rPr>
        <w:t>f/∂x</w:t>
      </w:r>
      <w:r>
        <w:rPr>
          <w:rFonts w:eastAsia="Liberation Serif" w:cs="Liberation Serif" w:ascii="Courier" w:hAnsi="Courier"/>
          <w:bCs/>
          <w:sz w:val="28"/>
          <w:szCs w:val="28"/>
          <w:vertAlign w:val="superscript"/>
          <w:lang w:val="fr-FR"/>
        </w:rPr>
        <w:t>2</w:t>
      </w:r>
      <w:r>
        <w:rPr>
          <w:rFonts w:eastAsia="Liberation Serif" w:cs="Liberation Serif" w:ascii="Courier" w:hAnsi="Courier"/>
          <w:bCs/>
          <w:sz w:val="28"/>
          <w:szCs w:val="28"/>
          <w:lang w:val="fr-FR"/>
        </w:rPr>
        <w:t>, …..)</w:t>
      </w:r>
    </w:p>
    <w:p>
      <w:pPr>
        <w:pStyle w:val="Normal"/>
        <w:jc w:val="both"/>
        <w:rPr/>
      </w:pPr>
      <w:r>
        <w:rPr>
          <w:bCs/>
          <w:sz w:val="22"/>
          <w:szCs w:val="22"/>
          <w:lang w:val="fr-FR"/>
        </w:rPr>
        <w:t>qui peut être implémentée par une méthode aux éléments finis. La forme de cette équation est en général non linéaire, complexe et très mal connue.</w:t>
      </w:r>
    </w:p>
    <w:p>
      <w:pPr>
        <w:pStyle w:val="Normal"/>
        <w:jc w:val="both"/>
        <w:rPr>
          <w:sz w:val="22"/>
          <w:szCs w:val="22"/>
          <w:lang w:val="fr-FR"/>
        </w:rPr>
      </w:pPr>
      <w:r>
        <w:rPr/>
        <w:drawing>
          <wp:inline distT="0" distB="0" distL="0" distR="0">
            <wp:extent cx="3314700" cy="2216785"/>
            <wp:effectExtent l="0" t="0" r="0" b="0"/>
            <wp:docPr id="4" name="Imag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2" descr=""/>
                    <pic:cNvPicPr>
                      <a:picLocks noChangeAspect="1" noChangeArrowheads="1"/>
                    </pic:cNvPicPr>
                  </pic:nvPicPr>
                  <pic:blipFill>
                    <a:blip r:embed="rId3"/>
                    <a:stretch>
                      <a:fillRect/>
                    </a:stretch>
                  </pic:blipFill>
                  <pic:spPr bwMode="auto">
                    <a:xfrm>
                      <a:off x="0" y="0"/>
                      <a:ext cx="3314700" cy="2216785"/>
                    </a:xfrm>
                    <a:prstGeom prst="rect">
                      <a:avLst/>
                    </a:prstGeom>
                  </pic:spPr>
                </pic:pic>
              </a:graphicData>
            </a:graphic>
          </wp:inline>
        </w:drawing>
        <mc:AlternateContent>
          <mc:Choice Requires="wps">
            <w:drawing>
              <wp:anchor behindDoc="0" distT="45720" distB="45720" distL="114300" distR="114300" simplePos="0" locked="0" layoutInCell="1" allowOverlap="1" relativeHeight="2" wp14:anchorId="24993E54">
                <wp:simplePos x="0" y="0"/>
                <wp:positionH relativeFrom="column">
                  <wp:posOffset>3543300</wp:posOffset>
                </wp:positionH>
                <wp:positionV relativeFrom="paragraph">
                  <wp:posOffset>1464310</wp:posOffset>
                </wp:positionV>
                <wp:extent cx="2733040" cy="675005"/>
                <wp:effectExtent l="0" t="0" r="25400" b="17780"/>
                <wp:wrapSquare wrapText="bothSides"/>
                <wp:docPr id="2" name="Zone de texte 2"/>
                <a:graphic xmlns:a="http://schemas.openxmlformats.org/drawingml/2006/main">
                  <a:graphicData uri="http://schemas.microsoft.com/office/word/2010/wordprocessingShape">
                    <wps:wsp>
                      <wps:cNvSpPr/>
                      <wps:spPr>
                        <a:xfrm>
                          <a:off x="0" y="0"/>
                          <a:ext cx="2732400" cy="674280"/>
                        </a:xfrm>
                        <a:prstGeom prst="rect">
                          <a:avLst/>
                        </a:prstGeom>
                        <a:solidFill>
                          <a:srgbClr val="ffffff"/>
                        </a:solidFill>
                        <a:ln w="9360">
                          <a:miter/>
                        </a:ln>
                      </wps:spPr>
                      <wps:style>
                        <a:lnRef idx="0"/>
                        <a:fillRef idx="0"/>
                        <a:effectRef idx="0"/>
                        <a:fontRef idx="minor"/>
                      </wps:style>
                      <wps:txbx>
                        <w:txbxContent>
                          <w:p>
                            <w:pPr>
                              <w:pStyle w:val="FrameContents"/>
                              <w:rPr>
                                <w:color w:val="000000"/>
                              </w:rPr>
                            </w:pPr>
                            <w:r>
                              <w:rPr>
                                <w:color w:val="000000"/>
                                <w:sz w:val="22"/>
                                <w:szCs w:val="22"/>
                                <w:lang w:val="fr-FR"/>
                              </w:rPr>
                              <w:t>Figure 1 : Simulation par éléments finis (logiciel Freefem) de la propagation d’un agent de contraste dans une artère.</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id="shape_0" ID="Zone de texte 2" fillcolor="white" stroked="t" style="position:absolute;margin-left:279pt;margin-top:115.3pt;width:215.1pt;height:53.05pt" wp14:anchorId="24993E54">
                <w10:wrap type="square"/>
                <v:fill o:detectmouseclick="t" type="solid" color2="black"/>
                <v:stroke color="black" weight="9360" joinstyle="miter" endcap="flat"/>
                <v:textbox>
                  <w:txbxContent>
                    <w:p>
                      <w:pPr>
                        <w:pStyle w:val="FrameContents"/>
                        <w:rPr>
                          <w:color w:val="000000"/>
                        </w:rPr>
                      </w:pPr>
                      <w:r>
                        <w:rPr>
                          <w:color w:val="000000"/>
                          <w:sz w:val="22"/>
                          <w:szCs w:val="22"/>
                          <w:lang w:val="fr-FR"/>
                        </w:rPr>
                        <w:t>Figure 1 : Simulation par éléments finis (logiciel Freefem) de la propagation d’un agent de contraste dans une artère.</w:t>
                      </w:r>
                    </w:p>
                  </w:txbxContent>
                </v:textbox>
              </v:rect>
            </w:pict>
          </mc:Fallback>
        </mc:AlternateContent>
      </w:r>
    </w:p>
    <w:tbl>
      <w:tblPr>
        <w:tblStyle w:val="Grille"/>
        <w:tblW w:w="11016" w:type="dxa"/>
        <w:jc w:val="left"/>
        <w:tblInd w:w="0" w:type="dxa"/>
        <w:tblCellMar>
          <w:top w:w="0" w:type="dxa"/>
          <w:left w:w="123" w:type="dxa"/>
          <w:bottom w:w="0" w:type="dxa"/>
          <w:right w:w="108" w:type="dxa"/>
        </w:tblCellMar>
        <w:tblLook w:noVBand="1" w:val="04a0" w:noHBand="0" w:lastColumn="0" w:firstColumn="1" w:lastRow="0" w:firstRow="1"/>
      </w:tblPr>
      <w:tblGrid>
        <w:gridCol w:w="11016"/>
      </w:tblGrid>
      <w:tr>
        <w:trPr/>
        <w:tc>
          <w:tcPr>
            <w:tcW w:w="11016" w:type="dxa"/>
            <w:tcBorders>
              <w:top w:val="nil"/>
              <w:left w:val="nil"/>
              <w:bottom w:val="nil"/>
              <w:right w:val="nil"/>
              <w:insideH w:val="nil"/>
              <w:insideV w:val="nil"/>
            </w:tcBorders>
            <w:shd w:fill="auto" w:val="clear"/>
          </w:tcPr>
          <w:p>
            <w:pPr>
              <w:pStyle w:val="Normal"/>
              <w:rPr>
                <w:sz w:val="22"/>
                <w:szCs w:val="22"/>
                <w:lang w:val="fr-FR"/>
              </w:rPr>
            </w:pPr>
            <w:r>
              <w:rPr>
                <w:sz w:val="22"/>
                <w:szCs w:val="22"/>
                <w:lang w:val="fr-FR"/>
              </w:rPr>
            </w:r>
          </w:p>
        </w:tc>
      </w:tr>
      <w:tr>
        <w:trPr/>
        <w:tc>
          <w:tcPr>
            <w:tcW w:w="11016" w:type="dxa"/>
            <w:tcBorders>
              <w:top w:val="nil"/>
              <w:left w:val="nil"/>
              <w:bottom w:val="nil"/>
              <w:right w:val="nil"/>
              <w:insideH w:val="nil"/>
              <w:insideV w:val="nil"/>
            </w:tcBorders>
            <w:shd w:fill="auto" w:val="clear"/>
          </w:tcPr>
          <w:p>
            <w:pPr>
              <w:pStyle w:val="Normal"/>
              <w:jc w:val="both"/>
              <w:rPr>
                <w:sz w:val="22"/>
                <w:szCs w:val="22"/>
                <w:lang w:val="fr-FR"/>
              </w:rPr>
            </w:pPr>
            <w:r>
              <w:rPr>
                <w:sz w:val="22"/>
                <w:szCs w:val="22"/>
                <w:lang w:val="fr-FR"/>
              </w:rPr>
            </w:r>
          </w:p>
        </w:tc>
      </w:tr>
    </w:tbl>
    <w:p>
      <w:pPr>
        <w:pStyle w:val="Normal"/>
        <w:pBdr>
          <w:top w:val="single" w:sz="4" w:space="1" w:color="00000A"/>
        </w:pBdr>
        <w:jc w:val="both"/>
        <w:rPr>
          <w:sz w:val="22"/>
          <w:szCs w:val="22"/>
          <w:lang w:val="fr-FR"/>
        </w:rPr>
      </w:pPr>
      <w:r>
        <w:rPr>
          <w:b/>
          <w:bCs/>
          <w:sz w:val="22"/>
          <w:szCs w:val="22"/>
          <w:lang w:val="fr-FR"/>
        </w:rPr>
        <w:t xml:space="preserve">Méthodologie: </w:t>
      </w:r>
      <w:r>
        <w:rPr>
          <w:bCs/>
          <w:sz w:val="22"/>
          <w:szCs w:val="22"/>
          <w:lang w:val="fr-FR"/>
        </w:rPr>
        <w:t>Depuis quelques années, de plus en plus grandes quantités de données sont collectées en imagerie.médicale Il  apparaît désormais possible d’identifier et de modéliser un phénomène physique à partir de l’analyse des données acquises sur un ensemble de cas. Un travail récent propose l’approche PDE-Net d’apprentissage d’équations aux dérivées partielles avec des réseaux convolutionnels (Long 2018). Cette méthode est basée sur l’approximation des opérateurs différentiels de dérivation d’ordre plus ou moins élevé par des convolutions. Nous proposons d’expérimenter cette approche pour la détermination de l’équation de propagation d’un fluide comme alternative aux éléments finis.</w:t>
      </w:r>
    </w:p>
    <w:p>
      <w:pPr>
        <w:pStyle w:val="Normal"/>
        <w:pBdr>
          <w:top w:val="single" w:sz="4" w:space="1" w:color="00000A"/>
        </w:pBdr>
        <w:jc w:val="both"/>
        <w:rPr>
          <w:sz w:val="22"/>
          <w:szCs w:val="22"/>
          <w:lang w:val="fr-FR"/>
        </w:rPr>
      </w:pPr>
      <w:r>
        <w:rPr>
          <w:sz w:val="22"/>
          <w:szCs w:val="22"/>
          <w:lang w:val="fr-FR"/>
        </w:rPr>
      </w:r>
    </w:p>
    <w:p>
      <w:pPr>
        <w:pStyle w:val="Normal"/>
        <w:jc w:val="both"/>
        <w:rPr>
          <w:sz w:val="22"/>
          <w:szCs w:val="22"/>
          <w:lang w:val="fr-FR"/>
        </w:rPr>
      </w:pPr>
      <w:r>
        <w:rPr>
          <w:b/>
          <w:bCs/>
          <w:sz w:val="22"/>
          <w:szCs w:val="22"/>
          <w:lang w:val="fr-FR"/>
        </w:rPr>
        <w:t xml:space="preserve">Objectifs du stage: </w:t>
        <w:tab/>
      </w:r>
      <w:r>
        <w:rPr>
          <w:sz w:val="22"/>
          <w:szCs w:val="22"/>
          <w:lang w:val="fr-FR"/>
        </w:rPr>
        <w:t>Dans le cadre du stage proposé, notre objectif est d’apprendre et approximer différentes équations de convection-diffusion d’un traceur à partir d’un réseau de convolution avec des méthodes d’apprentissage profond (deep learning) et à partir de données issues de simulations numériques réalisées avec un logiciel d’éléments finis. Des tests seront réalisés sur des données simulées plus ou moins bruitées et pourront être étendus dans un second temps à des données réelles.</w:t>
      </w:r>
    </w:p>
    <w:p>
      <w:pPr>
        <w:pStyle w:val="Normal"/>
        <w:jc w:val="both"/>
        <w:rPr>
          <w:sz w:val="22"/>
          <w:szCs w:val="22"/>
          <w:lang w:val="fr-FR"/>
        </w:rPr>
      </w:pPr>
      <w:r>
        <w:rPr>
          <w:b/>
          <w:bCs/>
          <w:sz w:val="22"/>
          <w:szCs w:val="22"/>
          <w:lang w:val="fr-FR"/>
        </w:rPr>
        <w:t>Profil:</w:t>
      </w:r>
    </w:p>
    <w:p>
      <w:pPr>
        <w:pStyle w:val="Normal"/>
        <w:numPr>
          <w:ilvl w:val="0"/>
          <w:numId w:val="1"/>
        </w:numPr>
        <w:tabs>
          <w:tab w:val="clear" w:pos="720"/>
          <w:tab w:val="left" w:pos="426" w:leader="none"/>
        </w:tabs>
        <w:ind w:left="720" w:hanging="578"/>
        <w:jc w:val="both"/>
        <w:rPr>
          <w:sz w:val="22"/>
          <w:szCs w:val="22"/>
          <w:lang w:val="fr-FR"/>
        </w:rPr>
      </w:pPr>
      <w:r>
        <w:rPr>
          <w:sz w:val="22"/>
          <w:szCs w:val="22"/>
          <w:lang w:val="fr-FR"/>
        </w:rPr>
        <w:t>Connaissances en apprentissage machine et/ou éléments finis</w:t>
      </w:r>
    </w:p>
    <w:p>
      <w:pPr>
        <w:pStyle w:val="Normal"/>
        <w:numPr>
          <w:ilvl w:val="0"/>
          <w:numId w:val="1"/>
        </w:numPr>
        <w:tabs>
          <w:tab w:val="clear" w:pos="720"/>
          <w:tab w:val="left" w:pos="426" w:leader="none"/>
        </w:tabs>
        <w:ind w:left="720" w:hanging="578"/>
        <w:jc w:val="both"/>
        <w:rPr>
          <w:sz w:val="22"/>
          <w:szCs w:val="22"/>
          <w:lang w:val="fr-FR"/>
        </w:rPr>
      </w:pPr>
      <w:r>
        <w:rPr>
          <w:sz w:val="22"/>
          <w:szCs w:val="22"/>
          <w:lang w:val="fr-FR"/>
        </w:rPr>
        <w:t>Compétences en programmation (MATLAB, Python,)</w:t>
      </w:r>
    </w:p>
    <w:p>
      <w:pPr>
        <w:pStyle w:val="Normal"/>
        <w:jc w:val="both"/>
        <w:rPr>
          <w:b/>
          <w:b/>
          <w:bCs/>
          <w:sz w:val="22"/>
          <w:szCs w:val="22"/>
          <w:lang w:val="fr-FR"/>
        </w:rPr>
      </w:pPr>
      <w:r>
        <w:rPr>
          <w:b/>
          <w:bCs/>
          <w:sz w:val="22"/>
          <w:szCs w:val="22"/>
          <w:lang w:val="fr-FR"/>
        </w:rPr>
      </w:r>
    </w:p>
    <w:p>
      <w:pPr>
        <w:pStyle w:val="Normal"/>
        <w:jc w:val="both"/>
        <w:rPr>
          <w:sz w:val="22"/>
          <w:szCs w:val="22"/>
          <w:lang w:val="fr-FR"/>
        </w:rPr>
      </w:pPr>
      <w:r>
        <w:rPr>
          <w:b/>
          <w:bCs/>
          <w:sz w:val="22"/>
          <w:szCs w:val="22"/>
          <w:lang w:val="fr-FR"/>
        </w:rPr>
        <w:t>Informations pratiques:</w:t>
      </w:r>
    </w:p>
    <w:p>
      <w:pPr>
        <w:pStyle w:val="ListParagraph"/>
        <w:numPr>
          <w:ilvl w:val="0"/>
          <w:numId w:val="2"/>
        </w:numPr>
        <w:ind w:left="426" w:hanging="284"/>
        <w:jc w:val="both"/>
        <w:rPr>
          <w:sz w:val="22"/>
          <w:szCs w:val="22"/>
          <w:lang w:val="fr-FR"/>
        </w:rPr>
      </w:pPr>
      <w:r>
        <w:rPr>
          <w:sz w:val="22"/>
          <w:szCs w:val="22"/>
          <w:lang w:val="fr-FR"/>
        </w:rPr>
        <w:t>6 mois à partir de Février-Mars 2019, ~550€ / mois, sur le site de la Doua.</w:t>
      </w:r>
    </w:p>
    <w:p>
      <w:pPr>
        <w:pStyle w:val="ListParagraph"/>
        <w:numPr>
          <w:ilvl w:val="0"/>
          <w:numId w:val="2"/>
        </w:numPr>
        <w:ind w:left="426" w:hanging="284"/>
        <w:jc w:val="both"/>
        <w:rPr>
          <w:sz w:val="22"/>
          <w:szCs w:val="22"/>
          <w:lang w:val="fr-FR"/>
        </w:rPr>
      </w:pPr>
      <w:r>
        <w:rPr>
          <w:sz w:val="22"/>
          <w:szCs w:val="22"/>
          <w:lang w:val="fr-FR"/>
        </w:rPr>
        <w:t>Possibilité de poursuite en thèse, selon financements.</w:t>
      </w:r>
    </w:p>
    <w:p>
      <w:pPr>
        <w:pStyle w:val="Normal"/>
        <w:jc w:val="both"/>
        <w:rPr>
          <w:b/>
          <w:b/>
          <w:bCs/>
          <w:sz w:val="22"/>
          <w:szCs w:val="22"/>
          <w:lang w:val="fr-FR"/>
        </w:rPr>
      </w:pPr>
      <w:r>
        <w:rPr>
          <w:b/>
          <w:bCs/>
          <w:sz w:val="22"/>
          <w:szCs w:val="22"/>
          <w:lang w:val="fr-FR"/>
        </w:rPr>
      </w:r>
    </w:p>
    <w:p>
      <w:pPr>
        <w:pStyle w:val="Normal"/>
        <w:jc w:val="both"/>
        <w:rPr>
          <w:sz w:val="22"/>
          <w:szCs w:val="22"/>
          <w:lang w:val="fr-FR"/>
        </w:rPr>
      </w:pPr>
      <w:r>
        <w:rPr>
          <w:b/>
          <w:bCs/>
          <w:sz w:val="22"/>
          <w:szCs w:val="22"/>
          <w:lang w:val="fr-FR"/>
        </w:rPr>
        <w:t>Candidature:</w:t>
      </w:r>
    </w:p>
    <w:p>
      <w:pPr>
        <w:pStyle w:val="Normal"/>
        <w:jc w:val="both"/>
        <w:rPr/>
      </w:pPr>
      <w:r>
        <w:rPr>
          <w:sz w:val="22"/>
          <w:szCs w:val="22"/>
          <w:lang w:val="fr-FR"/>
        </w:rPr>
        <w:t>Envoyer CV, lettre de motivation, et relevé de notes à : </w:t>
      </w:r>
      <w:hyperlink r:id="rId4">
        <w:r>
          <w:rPr>
            <w:rStyle w:val="InternetLink"/>
            <w:sz w:val="22"/>
            <w:szCs w:val="22"/>
            <w:lang w:val="fr-FR"/>
          </w:rPr>
          <w:t>bruno.sixou@insa-lyon.fr</w:t>
        </w:r>
      </w:hyperlink>
    </w:p>
    <w:p>
      <w:pPr>
        <w:pStyle w:val="Normal"/>
        <w:jc w:val="both"/>
        <w:rPr>
          <w:sz w:val="22"/>
          <w:szCs w:val="22"/>
          <w:lang w:val="fr-FR"/>
        </w:rPr>
      </w:pPr>
      <w:r>
        <w:rPr>
          <w:sz w:val="22"/>
          <w:szCs w:val="22"/>
          <w:lang w:val="fr-FR"/>
        </w:rPr>
      </w:r>
    </w:p>
    <w:p>
      <w:pPr>
        <w:pStyle w:val="Normal"/>
        <w:pBdr>
          <w:top w:val="single" w:sz="4" w:space="1" w:color="00000A"/>
        </w:pBdr>
        <w:jc w:val="both"/>
        <w:rPr>
          <w:b/>
          <w:b/>
          <w:bCs/>
          <w:sz w:val="8"/>
          <w:szCs w:val="8"/>
          <w:lang w:val="fr-FR"/>
        </w:rPr>
      </w:pPr>
      <w:r>
        <w:rPr>
          <w:b/>
          <w:bCs/>
          <w:sz w:val="8"/>
          <w:szCs w:val="8"/>
          <w:lang w:val="fr-FR"/>
        </w:rPr>
      </w:r>
    </w:p>
    <w:p>
      <w:pPr>
        <w:pStyle w:val="Normal"/>
        <w:pBdr>
          <w:top w:val="single" w:sz="4" w:space="1" w:color="00000A"/>
        </w:pBdr>
        <w:jc w:val="both"/>
        <w:rPr>
          <w:b/>
          <w:b/>
          <w:bCs/>
          <w:sz w:val="22"/>
          <w:szCs w:val="22"/>
          <w:lang w:val="fr-FR"/>
        </w:rPr>
      </w:pPr>
      <w:r>
        <w:rPr>
          <w:b/>
          <w:bCs/>
          <w:sz w:val="22"/>
          <w:szCs w:val="22"/>
          <w:lang w:val="fr-FR"/>
        </w:rPr>
        <w:t>Références:</w:t>
      </w:r>
    </w:p>
    <w:p>
      <w:pPr>
        <w:pStyle w:val="Normal"/>
        <w:jc w:val="both"/>
        <w:rPr/>
      </w:pPr>
      <w:r>
        <w:rPr>
          <w:szCs w:val="22"/>
          <w:lang w:val="fr-FR"/>
        </w:rPr>
        <w:t>[</w:t>
      </w:r>
      <w:r>
        <w:rPr>
          <w:sz w:val="22"/>
          <w:szCs w:val="22"/>
        </w:rPr>
        <w:t>Z.Long, Y.Lu, X.Ma, B.Dong, PDE-NET Learning PDE from data, arXiv (2018)</w:t>
      </w:r>
    </w:p>
    <w:sectPr>
      <w:footerReference w:type="default" r:id="rId5"/>
      <w:type w:val="nextPage"/>
      <w:pgSz w:w="12240" w:h="15840"/>
      <w:pgMar w:left="720" w:right="720" w:header="0" w:top="720" w:footer="720" w:bottom="777" w:gutter="0"/>
      <w:pgNumType w:fmt="decimal"/>
      <w:formProt w:val="false"/>
      <w:textDirection w:val="lrTb"/>
      <w:docGrid w:type="default" w:linePitch="24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Liberation Sans">
    <w:altName w:val="Arial"/>
    <w:charset w:val="01"/>
    <w:family w:val="roman"/>
    <w:pitch w:val="variable"/>
  </w:font>
  <w:font w:name="Courier">
    <w:altName w:val="Courier New"/>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2"/>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ind w:left="720" w:hanging="360"/>
      </w:pPr>
      <w:rPr>
        <w:rFonts w:ascii="Symbol" w:hAnsi="Symbol" w:cs="Symbol" w:hint="default"/>
        <w:sz w:val="22"/>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1"/>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4"/>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basedOn w:val="DefaultParagraphFont"/>
    <w:uiPriority w:val="99"/>
    <w:unhideWhenUsed/>
    <w:rsid w:val="00577e09"/>
    <w:rPr>
      <w:color w:val="0000FF" w:themeColor="hyperlink"/>
      <w:u w:val="single"/>
    </w:rPr>
  </w:style>
  <w:style w:type="character" w:styleId="TextedebullesCar" w:customStyle="1">
    <w:name w:val="Texte de bulles Car"/>
    <w:basedOn w:val="DefaultParagraphFont"/>
    <w:link w:val="Textedebulles"/>
    <w:uiPriority w:val="99"/>
    <w:semiHidden/>
    <w:qFormat/>
    <w:rsid w:val="00fe7ed8"/>
    <w:rPr>
      <w:rFonts w:ascii="Lucida Grande" w:hAnsi="Lucida Grande" w:cs="Lucida Grande"/>
      <w:sz w:val="18"/>
      <w:szCs w:val="18"/>
      <w:lang w:val="en-US"/>
    </w:rPr>
  </w:style>
  <w:style w:type="character" w:styleId="PieddepageCar" w:customStyle="1">
    <w:name w:val="Pied de page Car"/>
    <w:basedOn w:val="DefaultParagraphFont"/>
    <w:link w:val="Footer"/>
    <w:uiPriority w:val="99"/>
    <w:qFormat/>
    <w:rsid w:val="004f395c"/>
    <w:rPr>
      <w:lang w:val="en-US"/>
    </w:rPr>
  </w:style>
  <w:style w:type="character" w:styleId="Pagenumber">
    <w:name w:val="page number"/>
    <w:basedOn w:val="DefaultParagraphFont"/>
    <w:uiPriority w:val="99"/>
    <w:semiHidden/>
    <w:unhideWhenUsed/>
    <w:qFormat/>
    <w:rsid w:val="004f395c"/>
    <w:rPr/>
  </w:style>
  <w:style w:type="character" w:styleId="EntteCar" w:customStyle="1">
    <w:name w:val="En-tête Car"/>
    <w:basedOn w:val="DefaultParagraphFont"/>
    <w:uiPriority w:val="99"/>
    <w:qFormat/>
    <w:rsid w:val="004f395c"/>
    <w:rPr>
      <w:lang w:val="en-US"/>
    </w:rPr>
  </w:style>
  <w:style w:type="character" w:styleId="UnresolvedMention" w:customStyle="1">
    <w:name w:val="Unresolved Mention"/>
    <w:basedOn w:val="DefaultParagraphFont"/>
    <w:uiPriority w:val="99"/>
    <w:semiHidden/>
    <w:unhideWhenUsed/>
    <w:qFormat/>
    <w:rsid w:val="007e0623"/>
    <w:rPr>
      <w:color w:val="808080"/>
      <w:shd w:fill="E6E6E6" w:val="clear"/>
    </w:rPr>
  </w:style>
  <w:style w:type="character" w:styleId="ListLabel1" w:customStyle="1">
    <w:name w:val="ListLabel 1"/>
    <w:qFormat/>
    <w:rPr>
      <w:rFonts w:eastAsia="ＭＳ 明朝"/>
    </w:rPr>
  </w:style>
  <w:style w:type="character" w:styleId="ListLabel2" w:customStyle="1">
    <w:name w:val="ListLabel 2"/>
    <w:qFormat/>
    <w:rPr>
      <w:sz w:val="22"/>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ListLabel10" w:customStyle="1">
    <w:name w:val="ListLabel 10"/>
    <w:qFormat/>
    <w:rPr>
      <w:sz w:val="20"/>
    </w:rPr>
  </w:style>
  <w:style w:type="character" w:styleId="ListLabel11" w:customStyle="1">
    <w:name w:val="ListLabel 11"/>
    <w:qFormat/>
    <w:rPr>
      <w:rFonts w:eastAsia="ＭＳ 明朝"/>
    </w:rPr>
  </w:style>
  <w:style w:type="character" w:styleId="ListLabel12" w:customStyle="1">
    <w:name w:val="ListLabel 12"/>
    <w:qFormat/>
    <w:rPr>
      <w:rFonts w:cs="Symbol"/>
      <w:sz w:val="22"/>
    </w:rPr>
  </w:style>
  <w:style w:type="character" w:styleId="ListLabel13" w:customStyle="1">
    <w:name w:val="ListLabel 13"/>
    <w:qFormat/>
    <w:rPr>
      <w:rFonts w:cs="Courier New"/>
      <w:sz w:val="20"/>
    </w:rPr>
  </w:style>
  <w:style w:type="character" w:styleId="ListLabel14" w:customStyle="1">
    <w:name w:val="ListLabel 14"/>
    <w:qFormat/>
    <w:rPr>
      <w:rFonts w:cs="Wingdings"/>
      <w:sz w:val="20"/>
    </w:rPr>
  </w:style>
  <w:style w:type="character" w:styleId="ListLabel15" w:customStyle="1">
    <w:name w:val="ListLabel 15"/>
    <w:qFormat/>
    <w:rPr>
      <w:rFonts w:cs="Wingdings"/>
      <w:sz w:val="20"/>
    </w:rPr>
  </w:style>
  <w:style w:type="character" w:styleId="ListLabel16" w:customStyle="1">
    <w:name w:val="ListLabel 16"/>
    <w:qFormat/>
    <w:rPr>
      <w:rFonts w:cs="Wingdings"/>
      <w:sz w:val="20"/>
    </w:rPr>
  </w:style>
  <w:style w:type="character" w:styleId="ListLabel17" w:customStyle="1">
    <w:name w:val="ListLabel 17"/>
    <w:qFormat/>
    <w:rPr>
      <w:rFonts w:cs="Wingdings"/>
      <w:sz w:val="20"/>
    </w:rPr>
  </w:style>
  <w:style w:type="character" w:styleId="ListLabel18" w:customStyle="1">
    <w:name w:val="ListLabel 18"/>
    <w:qFormat/>
    <w:rPr>
      <w:rFonts w:cs="Wingdings"/>
      <w:sz w:val="20"/>
    </w:rPr>
  </w:style>
  <w:style w:type="character" w:styleId="ListLabel19" w:customStyle="1">
    <w:name w:val="ListLabel 19"/>
    <w:qFormat/>
    <w:rPr>
      <w:rFonts w:cs="Wingdings"/>
      <w:sz w:val="20"/>
    </w:rPr>
  </w:style>
  <w:style w:type="character" w:styleId="ListLabel20" w:customStyle="1">
    <w:name w:val="ListLabel 20"/>
    <w:qFormat/>
    <w:rPr>
      <w:rFonts w:cs="Wingdings"/>
      <w:sz w:val="20"/>
    </w:rPr>
  </w:style>
  <w:style w:type="character" w:styleId="ListLabel21" w:customStyle="1">
    <w:name w:val="ListLabel 21"/>
    <w:qFormat/>
    <w:rPr>
      <w:rFonts w:cs="Symbol"/>
      <w:sz w:val="22"/>
    </w:rPr>
  </w:style>
  <w:style w:type="character" w:styleId="ListLabel22" w:customStyle="1">
    <w:name w:val="ListLabel 22"/>
    <w:qFormat/>
    <w:rPr>
      <w:rFonts w:cs="Courier New"/>
    </w:rPr>
  </w:style>
  <w:style w:type="character" w:styleId="ListLabel23" w:customStyle="1">
    <w:name w:val="ListLabel 23"/>
    <w:qFormat/>
    <w:rPr>
      <w:rFonts w:cs="Wingdings"/>
    </w:rPr>
  </w:style>
  <w:style w:type="character" w:styleId="ListLabel24" w:customStyle="1">
    <w:name w:val="ListLabel 24"/>
    <w:qFormat/>
    <w:rPr>
      <w:rFonts w:cs="Symbol"/>
    </w:rPr>
  </w:style>
  <w:style w:type="character" w:styleId="ListLabel25" w:customStyle="1">
    <w:name w:val="ListLabel 25"/>
    <w:qFormat/>
    <w:rPr>
      <w:rFonts w:cs="Courier New"/>
    </w:rPr>
  </w:style>
  <w:style w:type="character" w:styleId="ListLabel26" w:customStyle="1">
    <w:name w:val="ListLabel 26"/>
    <w:qFormat/>
    <w:rPr>
      <w:rFonts w:cs="Wingdings"/>
    </w:rPr>
  </w:style>
  <w:style w:type="character" w:styleId="ListLabel27" w:customStyle="1">
    <w:name w:val="ListLabel 27"/>
    <w:qFormat/>
    <w:rPr>
      <w:rFonts w:cs="Symbol"/>
    </w:rPr>
  </w:style>
  <w:style w:type="character" w:styleId="ListLabel28" w:customStyle="1">
    <w:name w:val="ListLabel 28"/>
    <w:qFormat/>
    <w:rPr>
      <w:rFonts w:cs="Courier New"/>
    </w:rPr>
  </w:style>
  <w:style w:type="character" w:styleId="ListLabel29" w:customStyle="1">
    <w:name w:val="ListLabel 29"/>
    <w:qFormat/>
    <w:rPr>
      <w:rFonts w:cs="Wingdings"/>
    </w:rPr>
  </w:style>
  <w:style w:type="character" w:styleId="ListLabel30" w:customStyle="1">
    <w:name w:val="ListLabel 30"/>
    <w:qFormat/>
    <w:rPr>
      <w:rFonts w:cs="Symbol"/>
      <w:sz w:val="22"/>
    </w:rPr>
  </w:style>
  <w:style w:type="character" w:styleId="ListLabel31" w:customStyle="1">
    <w:name w:val="ListLabel 31"/>
    <w:qFormat/>
    <w:rPr>
      <w:rFonts w:cs="Courier New"/>
      <w:sz w:val="20"/>
    </w:rPr>
  </w:style>
  <w:style w:type="character" w:styleId="ListLabel32" w:customStyle="1">
    <w:name w:val="ListLabel 32"/>
    <w:qFormat/>
    <w:rPr>
      <w:rFonts w:cs="Wingdings"/>
      <w:sz w:val="20"/>
    </w:rPr>
  </w:style>
  <w:style w:type="character" w:styleId="ListLabel33" w:customStyle="1">
    <w:name w:val="ListLabel 33"/>
    <w:qFormat/>
    <w:rPr>
      <w:rFonts w:cs="Wingdings"/>
      <w:sz w:val="20"/>
    </w:rPr>
  </w:style>
  <w:style w:type="character" w:styleId="ListLabel34" w:customStyle="1">
    <w:name w:val="ListLabel 34"/>
    <w:qFormat/>
    <w:rPr>
      <w:rFonts w:cs="Wingdings"/>
      <w:sz w:val="20"/>
    </w:rPr>
  </w:style>
  <w:style w:type="character" w:styleId="ListLabel35" w:customStyle="1">
    <w:name w:val="ListLabel 35"/>
    <w:qFormat/>
    <w:rPr>
      <w:rFonts w:cs="Wingdings"/>
      <w:sz w:val="20"/>
    </w:rPr>
  </w:style>
  <w:style w:type="character" w:styleId="ListLabel36" w:customStyle="1">
    <w:name w:val="ListLabel 36"/>
    <w:qFormat/>
    <w:rPr>
      <w:rFonts w:cs="Wingdings"/>
      <w:sz w:val="20"/>
    </w:rPr>
  </w:style>
  <w:style w:type="character" w:styleId="ListLabel37" w:customStyle="1">
    <w:name w:val="ListLabel 37"/>
    <w:qFormat/>
    <w:rPr>
      <w:rFonts w:cs="Wingdings"/>
      <w:sz w:val="20"/>
    </w:rPr>
  </w:style>
  <w:style w:type="character" w:styleId="ListLabel38" w:customStyle="1">
    <w:name w:val="ListLabel 38"/>
    <w:qFormat/>
    <w:rPr>
      <w:rFonts w:cs="Wingdings"/>
      <w:sz w:val="20"/>
    </w:rPr>
  </w:style>
  <w:style w:type="character" w:styleId="ListLabel39" w:customStyle="1">
    <w:name w:val="ListLabel 39"/>
    <w:qFormat/>
    <w:rPr>
      <w:rFonts w:cs="Symbol"/>
      <w:sz w:val="22"/>
    </w:rPr>
  </w:style>
  <w:style w:type="character" w:styleId="ListLabel40" w:customStyle="1">
    <w:name w:val="ListLabel 40"/>
    <w:qFormat/>
    <w:rPr>
      <w:rFonts w:cs="Courier New"/>
    </w:rPr>
  </w:style>
  <w:style w:type="character" w:styleId="ListLabel41" w:customStyle="1">
    <w:name w:val="ListLabel 41"/>
    <w:qFormat/>
    <w:rPr>
      <w:rFonts w:cs="Wingdings"/>
    </w:rPr>
  </w:style>
  <w:style w:type="character" w:styleId="ListLabel42" w:customStyle="1">
    <w:name w:val="ListLabel 42"/>
    <w:qFormat/>
    <w:rPr>
      <w:rFonts w:cs="Symbol"/>
    </w:rPr>
  </w:style>
  <w:style w:type="character" w:styleId="ListLabel43" w:customStyle="1">
    <w:name w:val="ListLabel 43"/>
    <w:qFormat/>
    <w:rPr>
      <w:rFonts w:cs="Courier New"/>
    </w:rPr>
  </w:style>
  <w:style w:type="character" w:styleId="ListLabel44" w:customStyle="1">
    <w:name w:val="ListLabel 44"/>
    <w:qFormat/>
    <w:rPr>
      <w:rFonts w:cs="Wingdings"/>
    </w:rPr>
  </w:style>
  <w:style w:type="character" w:styleId="ListLabel45" w:customStyle="1">
    <w:name w:val="ListLabel 45"/>
    <w:qFormat/>
    <w:rPr>
      <w:rFonts w:cs="Symbol"/>
    </w:rPr>
  </w:style>
  <w:style w:type="character" w:styleId="ListLabel46" w:customStyle="1">
    <w:name w:val="ListLabel 46"/>
    <w:qFormat/>
    <w:rPr>
      <w:rFonts w:cs="Courier New"/>
    </w:rPr>
  </w:style>
  <w:style w:type="character" w:styleId="ListLabel47" w:customStyle="1">
    <w:name w:val="ListLabel 47"/>
    <w:qFormat/>
    <w:rPr>
      <w:rFonts w:cs="Wingdings"/>
    </w:rPr>
  </w:style>
  <w:style w:type="character" w:styleId="ListLabel48">
    <w:name w:val="ListLabel 48"/>
    <w:qFormat/>
    <w:rPr>
      <w:rFonts w:cs="Symbol"/>
      <w:sz w:val="22"/>
    </w:rPr>
  </w:style>
  <w:style w:type="character" w:styleId="ListLabel49">
    <w:name w:val="ListLabel 49"/>
    <w:qFormat/>
    <w:rPr>
      <w:rFonts w:cs="Courier New"/>
      <w:sz w:val="20"/>
    </w:rPr>
  </w:style>
  <w:style w:type="character" w:styleId="ListLabel50">
    <w:name w:val="ListLabel 50"/>
    <w:qFormat/>
    <w:rPr>
      <w:rFonts w:cs="Wingdings"/>
      <w:sz w:val="20"/>
    </w:rPr>
  </w:style>
  <w:style w:type="character" w:styleId="ListLabel51">
    <w:name w:val="ListLabel 51"/>
    <w:qFormat/>
    <w:rPr>
      <w:rFonts w:cs="Wingdings"/>
      <w:sz w:val="20"/>
    </w:rPr>
  </w:style>
  <w:style w:type="character" w:styleId="ListLabel52">
    <w:name w:val="ListLabel 52"/>
    <w:qFormat/>
    <w:rPr>
      <w:rFonts w:cs="Wingdings"/>
      <w:sz w:val="20"/>
    </w:rPr>
  </w:style>
  <w:style w:type="character" w:styleId="ListLabel53">
    <w:name w:val="ListLabel 53"/>
    <w:qFormat/>
    <w:rPr>
      <w:rFonts w:cs="Wingdings"/>
      <w:sz w:val="20"/>
    </w:rPr>
  </w:style>
  <w:style w:type="character" w:styleId="ListLabel54">
    <w:name w:val="ListLabel 54"/>
    <w:qFormat/>
    <w:rPr>
      <w:rFonts w:cs="Wingdings"/>
      <w:sz w:val="20"/>
    </w:rPr>
  </w:style>
  <w:style w:type="character" w:styleId="ListLabel55">
    <w:name w:val="ListLabel 55"/>
    <w:qFormat/>
    <w:rPr>
      <w:rFonts w:cs="Wingdings"/>
      <w:sz w:val="20"/>
    </w:rPr>
  </w:style>
  <w:style w:type="character" w:styleId="ListLabel56">
    <w:name w:val="ListLabel 56"/>
    <w:qFormat/>
    <w:rPr>
      <w:rFonts w:cs="Wingdings"/>
      <w:sz w:val="20"/>
    </w:rPr>
  </w:style>
  <w:style w:type="character" w:styleId="ListLabel57">
    <w:name w:val="ListLabel 57"/>
    <w:qFormat/>
    <w:rPr>
      <w:rFonts w:cs="Symbol"/>
      <w:sz w:val="22"/>
    </w:rPr>
  </w:style>
  <w:style w:type="character" w:styleId="ListLabel58">
    <w:name w:val="ListLabel 58"/>
    <w:qFormat/>
    <w:rPr>
      <w:rFonts w:cs="Courier New"/>
    </w:rPr>
  </w:style>
  <w:style w:type="character" w:styleId="ListLabel59">
    <w:name w:val="ListLabel 59"/>
    <w:qFormat/>
    <w:rPr>
      <w:rFonts w:cs="Wingdings"/>
    </w:rPr>
  </w:style>
  <w:style w:type="character" w:styleId="ListLabel60">
    <w:name w:val="ListLabel 60"/>
    <w:qFormat/>
    <w:rPr>
      <w:rFonts w:cs="Symbol"/>
    </w:rPr>
  </w:style>
  <w:style w:type="character" w:styleId="ListLabel61">
    <w:name w:val="ListLabel 61"/>
    <w:qFormat/>
    <w:rPr>
      <w:rFonts w:cs="Courier New"/>
    </w:rPr>
  </w:style>
  <w:style w:type="character" w:styleId="ListLabel62">
    <w:name w:val="ListLabel 62"/>
    <w:qFormat/>
    <w:rPr>
      <w:rFonts w:cs="Wingdings"/>
    </w:rPr>
  </w:style>
  <w:style w:type="character" w:styleId="ListLabel63">
    <w:name w:val="ListLabel 63"/>
    <w:qFormat/>
    <w:rPr>
      <w:rFonts w:cs="Symbol"/>
    </w:rPr>
  </w:style>
  <w:style w:type="character" w:styleId="ListLabel64">
    <w:name w:val="ListLabel 64"/>
    <w:qFormat/>
    <w:rPr>
      <w:rFonts w:cs="Courier New"/>
    </w:rPr>
  </w:style>
  <w:style w:type="character" w:styleId="ListLabel65">
    <w:name w:val="ListLabel 65"/>
    <w:qFormat/>
    <w:rPr>
      <w:rFonts w:cs="Wingdings"/>
    </w:rPr>
  </w:style>
  <w:style w:type="character" w:styleId="ListLabel66">
    <w:name w:val="ListLabel 66"/>
    <w:qFormat/>
    <w:rPr>
      <w:sz w:val="22"/>
      <w:szCs w:val="22"/>
      <w:lang w:val="fr-FR"/>
    </w:rPr>
  </w:style>
  <w:style w:type="paragraph" w:styleId="Heading" w:customStyle="1">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customStyle="1">
    <w:name w:val="Caption"/>
    <w:basedOn w:val="Normal"/>
    <w:qFormat/>
    <w:pPr>
      <w:suppressLineNumbers/>
      <w:spacing w:before="120" w:after="120"/>
    </w:pPr>
    <w:rPr>
      <w:rFonts w:cs="Droid Sans Devanagari"/>
      <w:i/>
      <w:iCs/>
    </w:rPr>
  </w:style>
  <w:style w:type="paragraph" w:styleId="Index" w:customStyle="1">
    <w:name w:val="Index"/>
    <w:basedOn w:val="Normal"/>
    <w:qFormat/>
    <w:pPr>
      <w:suppressLineNumbers/>
    </w:pPr>
    <w:rPr>
      <w:rFonts w:cs="Droid Sans Devanagari"/>
    </w:rPr>
  </w:style>
  <w:style w:type="paragraph" w:styleId="ListParagraph">
    <w:name w:val="List Paragraph"/>
    <w:basedOn w:val="Normal"/>
    <w:uiPriority w:val="34"/>
    <w:qFormat/>
    <w:rsid w:val="00577e09"/>
    <w:pPr>
      <w:spacing w:before="0" w:after="0"/>
      <w:ind w:left="720" w:hanging="0"/>
      <w:contextualSpacing/>
    </w:pPr>
    <w:rPr/>
  </w:style>
  <w:style w:type="paragraph" w:styleId="BalloonText">
    <w:name w:val="Balloon Text"/>
    <w:basedOn w:val="Normal"/>
    <w:link w:val="TextedebullesCar"/>
    <w:uiPriority w:val="99"/>
    <w:semiHidden/>
    <w:unhideWhenUsed/>
    <w:qFormat/>
    <w:rsid w:val="00fe7ed8"/>
    <w:pPr/>
    <w:rPr>
      <w:rFonts w:ascii="Lucida Grande" w:hAnsi="Lucida Grande" w:cs="Lucida Grande"/>
      <w:sz w:val="18"/>
      <w:szCs w:val="18"/>
    </w:rPr>
  </w:style>
  <w:style w:type="paragraph" w:styleId="Footer" w:customStyle="1">
    <w:name w:val="Footer"/>
    <w:basedOn w:val="Normal"/>
    <w:link w:val="PieddepageCar"/>
    <w:uiPriority w:val="99"/>
    <w:unhideWhenUsed/>
    <w:rsid w:val="004f395c"/>
    <w:pPr>
      <w:tabs>
        <w:tab w:val="clear" w:pos="720"/>
        <w:tab w:val="center" w:pos="4320" w:leader="none"/>
        <w:tab w:val="right" w:pos="8640" w:leader="none"/>
      </w:tabs>
    </w:pPr>
    <w:rPr/>
  </w:style>
  <w:style w:type="paragraph" w:styleId="Header" w:customStyle="1">
    <w:name w:val="Header"/>
    <w:basedOn w:val="Normal"/>
    <w:uiPriority w:val="99"/>
    <w:unhideWhenUsed/>
    <w:rsid w:val="004f395c"/>
    <w:pPr>
      <w:tabs>
        <w:tab w:val="clear" w:pos="720"/>
        <w:tab w:val="center" w:pos="4320" w:leader="none"/>
        <w:tab w:val="right" w:pos="8640" w:leader="none"/>
      </w:tabs>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
    <w:name w:val="Table Grid"/>
    <w:basedOn w:val="TableauNormal"/>
    <w:uiPriority w:val="59"/>
    <w:rsid w:val="0000161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bruno.sixou@insa-lyon.fr"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LibreOffice/6.1.2.1$Linux_X86_64 LibreOffice_project/10$Build-1</Application>
  <Pages>1</Pages>
  <Words>370</Words>
  <Characters>2205</Characters>
  <CharactersWithSpaces>2555</CharactersWithSpaces>
  <Paragraphs>20</Paragraphs>
  <Company>CREATIS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2018-11-07T15:21:00Z</dcterms:created>
  <dc:creator>ND</dc:creator>
  <dc:description/>
  <dc:language>en-US</dc:language>
  <cp:lastModifiedBy>Patrick CLARYSSE</cp:lastModifiedBy>
  <dcterms:modified xsi:type="dcterms:W3CDTF">2018-11-08T08:28:00Z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CREATIS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